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DBF" w:rsidRDefault="001F6DBF" w:rsidP="00A31A40">
      <w:pPr>
        <w:jc w:val="both"/>
        <w:rPr>
          <w:rFonts w:asciiTheme="minorHAnsi" w:hAnsiTheme="minorHAnsi"/>
          <w:sz w:val="24"/>
          <w:szCs w:val="24"/>
        </w:rPr>
      </w:pPr>
      <w:bookmarkStart w:id="0" w:name="_GoBack"/>
      <w:bookmarkEnd w:id="0"/>
    </w:p>
    <w:p w:rsidR="00A31A40" w:rsidRDefault="00A31A40" w:rsidP="00A31A40">
      <w:pPr>
        <w:spacing w:before="100" w:beforeAutospacing="1" w:after="100" w:afterAutospacing="1" w:line="360" w:lineRule="auto"/>
        <w:jc w:val="both"/>
      </w:pPr>
      <w:r>
        <w:t>Szanowni Państwo,</w:t>
      </w:r>
    </w:p>
    <w:p w:rsidR="00A31A40" w:rsidRDefault="00A31A40" w:rsidP="00A31A40">
      <w:pPr>
        <w:spacing w:before="100" w:beforeAutospacing="1" w:after="100" w:afterAutospacing="1" w:line="360" w:lineRule="auto"/>
        <w:jc w:val="both"/>
      </w:pPr>
      <w:r>
        <w:t>Informujemy, że w dniu 13 lipca 2018r., weszła w życie Ustawa z dnia 1 marca 2018r.,           o przeciwdziałaniu praniu pieniędzy oraz finansowaniu terroryzmu (Dz. U. z 2018r. poz. 723 ze zm.).</w:t>
      </w:r>
    </w:p>
    <w:p w:rsidR="00A31A40" w:rsidRDefault="00A31A40" w:rsidP="00A31A40">
      <w:pPr>
        <w:spacing w:before="100" w:beforeAutospacing="1" w:after="100" w:afterAutospacing="1" w:line="360" w:lineRule="auto"/>
        <w:jc w:val="both"/>
      </w:pPr>
      <w:r>
        <w:t xml:space="preserve">Ustawa ma na celu dostosowanie polskich przepisów do przepisów dyrektywy 2015/849 oraz znowelizowanych zleceń </w:t>
      </w:r>
      <w:proofErr w:type="spellStart"/>
      <w:r>
        <w:t>The</w:t>
      </w:r>
      <w:proofErr w:type="spellEnd"/>
      <w:r>
        <w:t xml:space="preserve"> Financial Action </w:t>
      </w:r>
      <w:proofErr w:type="spellStart"/>
      <w:r>
        <w:t>Task</w:t>
      </w:r>
      <w:proofErr w:type="spellEnd"/>
      <w:r>
        <w:t xml:space="preserve"> </w:t>
      </w:r>
      <w:proofErr w:type="spellStart"/>
      <w:r>
        <w:t>Force</w:t>
      </w:r>
      <w:proofErr w:type="spellEnd"/>
      <w:r>
        <w:t xml:space="preserve"> (FATF), a także zwiększenie efektywności krajowego systemu przeciwdziałania praniu pieniędzy oraz finansowaniu terroryzmu. Ustawa uwzględnia również doświadczenia związane ze stosowaniem przepisów ustawy z dnia 16 listopada 2000 roku o przeciwdziałaniu praniu pieniędzy oraz finansowaniu terroryzmu Dz. U. z 2017r poz. 1049 ze zm.), zwaną dalej ustawą uchyloną.</w:t>
      </w:r>
    </w:p>
    <w:p w:rsidR="00A31A40" w:rsidRDefault="00A31A40" w:rsidP="00A31A40">
      <w:pPr>
        <w:spacing w:before="100" w:beforeAutospacing="1" w:after="100" w:afterAutospacing="1" w:line="360" w:lineRule="auto"/>
        <w:jc w:val="both"/>
      </w:pPr>
      <w:r>
        <w:t xml:space="preserve">W związku z powyższym, informujemy, iż kontrolę wykonywania przez instytucje obowiązane obowiązków w zakresie przeciwdziałania praniu pieniędzy oraz finansowaniu terroryzmu </w:t>
      </w:r>
      <w:r>
        <w:br/>
        <w:t>w ramach sprawowanego nadzoru wykonują także Starostowie ( art.130 ust.2):</w:t>
      </w:r>
    </w:p>
    <w:p w:rsidR="00A31A40" w:rsidRDefault="00A31A40" w:rsidP="00A31A40">
      <w:pPr>
        <w:numPr>
          <w:ilvl w:val="0"/>
          <w:numId w:val="1"/>
        </w:numPr>
        <w:spacing w:before="100" w:beforeAutospacing="1" w:after="100" w:afterAutospacing="1" w:line="360" w:lineRule="auto"/>
        <w:jc w:val="both"/>
      </w:pPr>
      <w:r>
        <w:t>na zasadach określonych w ustawie – w odniesieniu do stowarzyszeń;</w:t>
      </w:r>
    </w:p>
    <w:p w:rsidR="00A31A40" w:rsidRDefault="00A31A40" w:rsidP="00A31A40">
      <w:pPr>
        <w:numPr>
          <w:ilvl w:val="0"/>
          <w:numId w:val="1"/>
        </w:numPr>
        <w:spacing w:before="100" w:beforeAutospacing="1" w:after="100" w:afterAutospacing="1" w:line="360" w:lineRule="auto"/>
        <w:jc w:val="both"/>
      </w:pPr>
      <w:r>
        <w:t>na zasadach określonych w ustawie – w odniesieniu do fundacji.</w:t>
      </w:r>
    </w:p>
    <w:p w:rsidR="00A31A40" w:rsidRDefault="00A31A40" w:rsidP="00A31A40">
      <w:pPr>
        <w:spacing w:before="100" w:beforeAutospacing="1" w:after="100" w:afterAutospacing="1" w:line="360" w:lineRule="auto"/>
        <w:jc w:val="both"/>
      </w:pPr>
      <w:r>
        <w:t>Przedstawiamy regulacje odnoszące się do obowiązków instytucji obowiązanych, które zawarte zostały w nowej ustawie.</w:t>
      </w:r>
    </w:p>
    <w:p w:rsidR="00A31A40" w:rsidRPr="00A13252" w:rsidRDefault="00A31A40" w:rsidP="00A31A40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b/>
        </w:rPr>
      </w:pPr>
      <w:r w:rsidRPr="00A13252">
        <w:rPr>
          <w:b/>
        </w:rPr>
        <w:t>Katalog instytucji obowiązanych (art. 2 ustawy)</w:t>
      </w:r>
    </w:p>
    <w:p w:rsidR="00A31A40" w:rsidRPr="000A658D" w:rsidRDefault="00A31A40" w:rsidP="00A31A40">
      <w:pPr>
        <w:spacing w:before="100" w:beforeAutospacing="1" w:after="100" w:afterAutospacing="1" w:line="360" w:lineRule="auto"/>
        <w:jc w:val="both"/>
      </w:pPr>
      <w:r>
        <w:t xml:space="preserve">Zmieniony zostaje zakres podmiotowy instytucji obowiązanych objętych przepisami ustawy. Część instytucji została dopisana, część podmiotów straciło status instytucji obowiązanych. Niektóre z podmiotów stają się instytucją obowiązaną po spełnieniu warunków tj. po przyjęciu (dokonaniu płatności) w gotówce kwoty przekraczającej 10.000 euro dotyczy to </w:t>
      </w:r>
      <w:r>
        <w:lastRenderedPageBreak/>
        <w:t xml:space="preserve">między innymi </w:t>
      </w:r>
      <w:r w:rsidRPr="001A114A">
        <w:rPr>
          <w:b/>
        </w:rPr>
        <w:t>fundacji i stowarzyszeń.</w:t>
      </w:r>
      <w:r>
        <w:rPr>
          <w:b/>
        </w:rPr>
        <w:t xml:space="preserve"> </w:t>
      </w:r>
      <w:r>
        <w:t xml:space="preserve">Oznacza to, że w chwili przyjęcia lub dokonania płatności w gotówce kwoty powyżej 10.000 euro, fundacja lub stowarzyszenie stają się automatycznie instytucją obowiązaną, </w:t>
      </w:r>
      <w:r w:rsidRPr="001A114A">
        <w:rPr>
          <w:i/>
        </w:rPr>
        <w:t>ale tylko w stosunku do klienta, od którego przyjęła gotówkę lub dokonała płatności w gotówce zarówno w ramach nawiązanych relacji gospodarczych lub w ramach transakcji okazjonalnej.</w:t>
      </w:r>
      <w:r>
        <w:rPr>
          <w:i/>
        </w:rPr>
        <w:t xml:space="preserve"> </w:t>
      </w:r>
      <w:r>
        <w:t xml:space="preserve">Nie należy tego obowiązku przenosić na relacje z innymi klientami lub inne transakcje, które nie zostały przeprowadzone w formie gotówkowej. </w:t>
      </w:r>
      <w:r w:rsidRPr="000A658D">
        <w:rPr>
          <w:i/>
        </w:rPr>
        <w:t>Tylko w tym zakresie tj. tylko w stosunku do klienta, z którym fundacja lub stowarzyszenie jest związane umową lub transakcją okazjonalną</w:t>
      </w:r>
      <w:r>
        <w:t xml:space="preserve"> fundacja lub stowarzyszenie powinny rozpoznać ryzyko, zastosować środki bezpieczeństwa finansowego i jeśli transakcja przekracza kwotę 15.000 euro przesłać ją do Generalnego Inspektora Informacji Finansowej, zwanego dalej: Generalny Inspektor. Jeśli fundacja lub stowarzyszenie stały się instytucją obowiązaną powinny wyznaczyć osobę odpowiedzialną za przeciwdziałanie praniu pieniędzy</w:t>
      </w:r>
      <w:r>
        <w:br/>
        <w:t xml:space="preserve"> i finansowaniu terroryzmu, wprowadzić wewnętrzną procedurę i przeszkolić pracowników realizujących obowiązki wynikające z ustawy. Po zakończeniu okresu trwania relacji              z klientem, od którego przyjęła gotówkę, fundacja lub stowarzyszenie przestaje być instytucją obowiązaną.</w:t>
      </w:r>
    </w:p>
    <w:p w:rsidR="00A31A40" w:rsidRPr="00A13252" w:rsidRDefault="00A31A40" w:rsidP="00A31A40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b/>
        </w:rPr>
      </w:pPr>
      <w:r w:rsidRPr="00A13252">
        <w:rPr>
          <w:b/>
        </w:rPr>
        <w:t>Obowiązki instytucji obowiązanych- fundacji i stowarzyszeń:</w:t>
      </w:r>
    </w:p>
    <w:p w:rsidR="00A31A40" w:rsidRPr="00A13252" w:rsidRDefault="00A31A40" w:rsidP="00A31A40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b/>
        </w:rPr>
      </w:pPr>
      <w:r w:rsidRPr="00A13252">
        <w:rPr>
          <w:b/>
        </w:rPr>
        <w:t>Osoby odpowiedzialne ( art. 6,7, 8, 9 ustawy)</w:t>
      </w:r>
      <w:r>
        <w:rPr>
          <w:b/>
        </w:rPr>
        <w:t>.</w:t>
      </w:r>
    </w:p>
    <w:p w:rsidR="00A31A40" w:rsidRDefault="00A31A40" w:rsidP="00A31A40">
      <w:pPr>
        <w:pStyle w:val="Akapitzlist"/>
        <w:numPr>
          <w:ilvl w:val="0"/>
          <w:numId w:val="3"/>
        </w:numPr>
        <w:spacing w:before="100" w:beforeAutospacing="1" w:after="100" w:afterAutospacing="1" w:line="360" w:lineRule="auto"/>
        <w:jc w:val="both"/>
      </w:pPr>
      <w:r>
        <w:t>Wyznaczenie kadry kierowniczej wyższego szczebla odpowiedzialnej za wykonywanie obowiązków określonych w ustawie (art.6 w zw. z art. 2 ust. 2 pkt9),</w:t>
      </w:r>
    </w:p>
    <w:p w:rsidR="00A31A40" w:rsidRDefault="00A31A40" w:rsidP="00A31A40">
      <w:pPr>
        <w:pStyle w:val="Akapitzlist"/>
        <w:numPr>
          <w:ilvl w:val="0"/>
          <w:numId w:val="3"/>
        </w:numPr>
        <w:spacing w:before="100" w:beforeAutospacing="1" w:after="100" w:afterAutospacing="1" w:line="360" w:lineRule="auto"/>
        <w:jc w:val="both"/>
      </w:pPr>
      <w:r>
        <w:t>Wyznaczenie spośród członków organu zarządzającego fundacji lub stowarzyszenia osoby odpowiedzialnej za wdrożenie obowiązków określonych w ustawie ( art.7),</w:t>
      </w:r>
    </w:p>
    <w:p w:rsidR="00A31A40" w:rsidRDefault="00A31A40" w:rsidP="00A31A40">
      <w:pPr>
        <w:pStyle w:val="Akapitzlist"/>
        <w:numPr>
          <w:ilvl w:val="0"/>
          <w:numId w:val="3"/>
        </w:numPr>
        <w:spacing w:before="100" w:beforeAutospacing="1" w:after="100" w:afterAutospacing="1" w:line="360" w:lineRule="auto"/>
        <w:jc w:val="both"/>
      </w:pPr>
      <w:r>
        <w:t xml:space="preserve">Wyznaczenie pracownika zajmującego kierownicze stanowisko </w:t>
      </w:r>
      <w:r>
        <w:br/>
        <w:t xml:space="preserve">w fundacji lub stowarzyszeniu odpowiedzialnego za zapewnienie </w:t>
      </w:r>
      <w:r>
        <w:lastRenderedPageBreak/>
        <w:t>zgodności działalności fundacji lub stowarzyszenia oraz ich pracowników z przepisami ustawy ( art. 8)</w:t>
      </w:r>
    </w:p>
    <w:p w:rsidR="00A31A40" w:rsidRDefault="00A31A40" w:rsidP="00A31A40">
      <w:pPr>
        <w:pStyle w:val="Akapitzlist"/>
        <w:numPr>
          <w:ilvl w:val="0"/>
          <w:numId w:val="3"/>
        </w:numPr>
        <w:spacing w:before="100" w:beforeAutospacing="1" w:after="100" w:afterAutospacing="1" w:line="360" w:lineRule="auto"/>
        <w:jc w:val="both"/>
      </w:pPr>
      <w:r>
        <w:t xml:space="preserve">W przypadku instytucji obowiązanych wykonujących działalność jednoosobowo, osobą odpowiedzialną zarówno za wykonanie jak     </w:t>
      </w:r>
      <w:r>
        <w:br/>
        <w:t xml:space="preserve">   i wdrażanie obowiązków określonych w ustawie jest osoba wykonująca tę działalność ( art.9).</w:t>
      </w:r>
    </w:p>
    <w:p w:rsidR="00A31A40" w:rsidRPr="00FD3CB6" w:rsidRDefault="00A31A40" w:rsidP="00A31A40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b/>
        </w:rPr>
      </w:pPr>
      <w:r w:rsidRPr="00FD3CB6">
        <w:rPr>
          <w:b/>
        </w:rPr>
        <w:t>Ocena ryzyka instytucji obowiązanych ( art. 27 ustawy)</w:t>
      </w:r>
      <w:r>
        <w:rPr>
          <w:b/>
        </w:rPr>
        <w:t>.</w:t>
      </w:r>
    </w:p>
    <w:p w:rsidR="00A31A40" w:rsidRDefault="00A31A40" w:rsidP="00A31A40">
      <w:pPr>
        <w:spacing w:before="100" w:beforeAutospacing="1" w:after="100" w:afterAutospacing="1" w:line="360" w:lineRule="auto"/>
        <w:ind w:left="1080"/>
        <w:jc w:val="both"/>
      </w:pPr>
      <w:r>
        <w:t xml:space="preserve">Stosownie do art. 27 ustawy Fundacje i stowarzyszenia zostały zobowiązane       do identyfikowania i oceny ryzyka związanego z praniem pieniędzy                         i finansowaniem terroryzmu, odnosząc się do ich działalności. Powinny przy tym uwzględniać czynniki ryzyka dotyczące: klientów, państw lub obszarów geograficznych, produktów, usług, transakcji lub kanałów ich dostaw. Podejmowane przez nie </w:t>
      </w:r>
      <w:proofErr w:type="spellStart"/>
      <w:r>
        <w:t>dzialania</w:t>
      </w:r>
      <w:proofErr w:type="spellEnd"/>
      <w:r>
        <w:t xml:space="preserve"> powinny ponadto być proporcjonalne               do charakteru i odnosić się do wielkości danej fundacji lub stowarzyszenia.</w:t>
      </w:r>
    </w:p>
    <w:p w:rsidR="00A31A40" w:rsidRDefault="00A31A40" w:rsidP="00A31A40">
      <w:pPr>
        <w:spacing w:before="100" w:beforeAutospacing="1" w:after="100" w:afterAutospacing="1" w:line="360" w:lineRule="auto"/>
        <w:ind w:left="1080"/>
        <w:jc w:val="both"/>
      </w:pPr>
      <w:r>
        <w:t xml:space="preserve">Przy ocenie ryzyka fundacje i stowarzyszenia mogą uwzględniać, krajową ocenę ryzyka, jak również sprawozdania Komisji Europejskiej z ponadnarodowej oceny ryzyka prania pieniędzy oraz finansowania terroryzmu. </w:t>
      </w:r>
    </w:p>
    <w:p w:rsidR="00A31A40" w:rsidRDefault="00A31A40" w:rsidP="00A31A40">
      <w:pPr>
        <w:spacing w:before="100" w:beforeAutospacing="1" w:after="100" w:afterAutospacing="1" w:line="360" w:lineRule="auto"/>
        <w:ind w:left="1080"/>
        <w:jc w:val="both"/>
      </w:pPr>
      <w:r>
        <w:t>(Stosownie do art.193 ustawy pierwszą krajową ocenę ryzyka Generalny Inspektor Informacji Finansowej opracuje w terminie 12 miesięcy od dnia wejścia w życie ustawy).</w:t>
      </w:r>
    </w:p>
    <w:p w:rsidR="00A31A40" w:rsidRDefault="00A31A40" w:rsidP="00A31A40">
      <w:pPr>
        <w:spacing w:before="100" w:beforeAutospacing="1" w:after="100" w:afterAutospacing="1" w:line="360" w:lineRule="auto"/>
        <w:ind w:left="1080"/>
        <w:jc w:val="both"/>
      </w:pPr>
      <w:r>
        <w:t xml:space="preserve">Ocena ryzyka powinna być sporządzona w postaci papierowej lub elektronicznej     i podlegać bieżącej aktualizacji w związku ze zmianami czynników ryzyka, nie rzadziej niż co dwa lata. W razie potrzeby, w szczególności w związku                 ze zmianami czynników ryzyka dotyczących klientów, państw lub obszarów </w:t>
      </w:r>
      <w:r>
        <w:lastRenderedPageBreak/>
        <w:t>geograficznych, produktów, usług, transakcji lub kanałów ich dostaw albo oceny ryzyka UE lub krajowej oceny ryzyka, aktualizacja powinna następować częściej.</w:t>
      </w:r>
    </w:p>
    <w:p w:rsidR="00A31A40" w:rsidRDefault="00A31A40" w:rsidP="00A31A40">
      <w:pPr>
        <w:spacing w:before="100" w:beforeAutospacing="1" w:after="100" w:afterAutospacing="1" w:line="360" w:lineRule="auto"/>
        <w:ind w:left="1080"/>
        <w:jc w:val="both"/>
        <w:rPr>
          <w:b/>
          <w:u w:val="single"/>
        </w:rPr>
      </w:pPr>
      <w:r w:rsidRPr="000631E4">
        <w:rPr>
          <w:b/>
        </w:rPr>
        <w:t xml:space="preserve">Pierwszą ocenę ryzyka fundacje i stowarzyszenia sporządzają </w:t>
      </w:r>
      <w:r>
        <w:rPr>
          <w:b/>
        </w:rPr>
        <w:br/>
      </w:r>
      <w:r w:rsidRPr="000631E4">
        <w:rPr>
          <w:b/>
        </w:rPr>
        <w:t xml:space="preserve">w terminie 6 miesięcy od dnia wejścia w życie ustawy, tj. do </w:t>
      </w:r>
      <w:r w:rsidRPr="000631E4">
        <w:rPr>
          <w:b/>
          <w:u w:val="single"/>
        </w:rPr>
        <w:t>13 stycznia 2019r.</w:t>
      </w:r>
    </w:p>
    <w:p w:rsidR="00A31A40" w:rsidRPr="00B80D02" w:rsidRDefault="00A31A40" w:rsidP="00A31A40">
      <w:pPr>
        <w:spacing w:before="100" w:beforeAutospacing="1" w:after="100" w:afterAutospacing="1" w:line="360" w:lineRule="auto"/>
        <w:ind w:left="1080"/>
        <w:jc w:val="both"/>
      </w:pPr>
      <w:r>
        <w:t>Na żądanie Generalnego Inspektora przekazują przygotowane w zakresie swojej właściwości oceny ryzyka oraz inne informacje mogące mieć wpływ na krajową ocenę ryzyka.</w:t>
      </w:r>
    </w:p>
    <w:p w:rsidR="00A31A40" w:rsidRDefault="00A31A40" w:rsidP="00A31A40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b/>
        </w:rPr>
      </w:pPr>
      <w:r w:rsidRPr="00FD3CB6">
        <w:rPr>
          <w:b/>
        </w:rPr>
        <w:t>Rozpoznanie i ocena ryzyka klienta ( art.33 ustawy)</w:t>
      </w:r>
      <w:r>
        <w:rPr>
          <w:b/>
        </w:rPr>
        <w:t>.</w:t>
      </w:r>
    </w:p>
    <w:p w:rsidR="00A31A40" w:rsidRDefault="00A31A40" w:rsidP="00A31A40">
      <w:pPr>
        <w:spacing w:before="100" w:beforeAutospacing="1" w:after="100" w:afterAutospacing="1" w:line="360" w:lineRule="auto"/>
        <w:ind w:left="1080"/>
        <w:jc w:val="both"/>
      </w:pPr>
      <w:r w:rsidRPr="00FD4040">
        <w:t xml:space="preserve">Fundacje i stowarzyszenia zostały zobowiązane do </w:t>
      </w:r>
      <w:r>
        <w:t>stosowania środków bezpieczeństwa finansowego wobec swoich klientów. W celu stosowania ww. środków zostały zobowiązane są do:  rozpoznania ryzyka prania pieniędzy związanego ze stosunkami gospodarczymi lub z transakcją okazjonalną i oceny poziomu rozpoznanego ryzyka. Przedmiotowa ocena ma zasadniczy wpływ na intensywność stosowania środków bezpieczeństwa finansowego wobec klientów.</w:t>
      </w:r>
    </w:p>
    <w:p w:rsidR="00A31A40" w:rsidRDefault="00A31A40" w:rsidP="00A31A40">
      <w:pPr>
        <w:spacing w:before="100" w:beforeAutospacing="1" w:after="100" w:afterAutospacing="1" w:line="360" w:lineRule="auto"/>
        <w:ind w:left="1080"/>
        <w:jc w:val="both"/>
      </w:pPr>
      <w:r>
        <w:t>Fundacje i stowarzyszenia stosownie do art..33 ustawy „dokumentują rozpoznane ryzyko prania pieniędzy oraz finansowania terroryzmu związane ze stosunkami gospodarczymi lub z transakcją okazjonalną oraz jego ocenę, uwzględniając          w szczególności czynniki dotyczące:</w:t>
      </w:r>
    </w:p>
    <w:p w:rsidR="00A31A40" w:rsidRDefault="00A31A40" w:rsidP="00A31A40">
      <w:pPr>
        <w:pStyle w:val="Akapitzlist"/>
        <w:numPr>
          <w:ilvl w:val="0"/>
          <w:numId w:val="4"/>
        </w:numPr>
        <w:spacing w:before="100" w:beforeAutospacing="1" w:after="100" w:afterAutospacing="1" w:line="360" w:lineRule="auto"/>
        <w:jc w:val="both"/>
      </w:pPr>
      <w:r>
        <w:t>Rodzaju klienta;</w:t>
      </w:r>
    </w:p>
    <w:p w:rsidR="00A31A40" w:rsidRDefault="00A31A40" w:rsidP="00A31A40">
      <w:pPr>
        <w:pStyle w:val="Akapitzlist"/>
        <w:numPr>
          <w:ilvl w:val="0"/>
          <w:numId w:val="4"/>
        </w:numPr>
        <w:spacing w:before="100" w:beforeAutospacing="1" w:after="100" w:afterAutospacing="1" w:line="360" w:lineRule="auto"/>
        <w:jc w:val="both"/>
      </w:pPr>
      <w:r>
        <w:t>Obszaru geograficznego;</w:t>
      </w:r>
    </w:p>
    <w:p w:rsidR="00A31A40" w:rsidRDefault="00A31A40" w:rsidP="00A31A40">
      <w:pPr>
        <w:pStyle w:val="Akapitzlist"/>
        <w:numPr>
          <w:ilvl w:val="0"/>
          <w:numId w:val="4"/>
        </w:numPr>
        <w:spacing w:before="100" w:beforeAutospacing="1" w:after="100" w:afterAutospacing="1" w:line="360" w:lineRule="auto"/>
        <w:jc w:val="both"/>
      </w:pPr>
      <w:r>
        <w:t>Przeznaczenia rachunku;</w:t>
      </w:r>
    </w:p>
    <w:p w:rsidR="00A31A40" w:rsidRDefault="00A31A40" w:rsidP="00A31A40">
      <w:pPr>
        <w:pStyle w:val="Akapitzlist"/>
        <w:numPr>
          <w:ilvl w:val="0"/>
          <w:numId w:val="4"/>
        </w:numPr>
        <w:spacing w:before="100" w:beforeAutospacing="1" w:after="100" w:afterAutospacing="1" w:line="360" w:lineRule="auto"/>
        <w:jc w:val="both"/>
      </w:pPr>
      <w:r>
        <w:t>Rodzaju produktów, usług i sposobów ich dystrybucji;</w:t>
      </w:r>
    </w:p>
    <w:p w:rsidR="00A31A40" w:rsidRDefault="00A31A40" w:rsidP="00A31A40">
      <w:pPr>
        <w:pStyle w:val="Akapitzlist"/>
        <w:numPr>
          <w:ilvl w:val="0"/>
          <w:numId w:val="4"/>
        </w:numPr>
        <w:spacing w:before="100" w:beforeAutospacing="1" w:after="100" w:afterAutospacing="1" w:line="360" w:lineRule="auto"/>
        <w:jc w:val="both"/>
      </w:pPr>
      <w:r>
        <w:t>Poziomu wartości majątkowych deponowanych przez klienta lub wartości przeprowadzonych transakcji;</w:t>
      </w:r>
    </w:p>
    <w:p w:rsidR="00A31A40" w:rsidRPr="00FD4040" w:rsidRDefault="00A31A40" w:rsidP="00A31A40">
      <w:pPr>
        <w:pStyle w:val="Akapitzlist"/>
        <w:numPr>
          <w:ilvl w:val="0"/>
          <w:numId w:val="4"/>
        </w:numPr>
        <w:spacing w:before="100" w:beforeAutospacing="1" w:after="100" w:afterAutospacing="1" w:line="360" w:lineRule="auto"/>
        <w:jc w:val="both"/>
      </w:pPr>
      <w:r>
        <w:lastRenderedPageBreak/>
        <w:t>Celu, regularności lub czasu trwania stosunków gospodarczych..</w:t>
      </w:r>
    </w:p>
    <w:p w:rsidR="00A31A40" w:rsidRDefault="00A31A40" w:rsidP="00A31A40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b/>
        </w:rPr>
      </w:pPr>
      <w:r w:rsidRPr="00FD3CB6">
        <w:rPr>
          <w:b/>
        </w:rPr>
        <w:t>Stosowanie środków bezpieczeństwa finansowego (art.34 ustawy)</w:t>
      </w:r>
      <w:r>
        <w:rPr>
          <w:b/>
        </w:rPr>
        <w:t>.</w:t>
      </w:r>
    </w:p>
    <w:p w:rsidR="00A31A40" w:rsidRDefault="00A31A40" w:rsidP="00A31A40">
      <w:pPr>
        <w:spacing w:before="100" w:beforeAutospacing="1" w:after="100" w:afterAutospacing="1" w:line="360" w:lineRule="auto"/>
        <w:ind w:left="1080"/>
        <w:jc w:val="both"/>
      </w:pPr>
      <w:r w:rsidRPr="00BE699E">
        <w:t>Środki be</w:t>
      </w:r>
      <w:r>
        <w:t>zpieczeństwa finansowego obejmują:</w:t>
      </w:r>
    </w:p>
    <w:p w:rsidR="00A31A40" w:rsidRDefault="00A31A40" w:rsidP="00A31A40">
      <w:pPr>
        <w:pStyle w:val="Akapitzlist"/>
        <w:numPr>
          <w:ilvl w:val="0"/>
          <w:numId w:val="5"/>
        </w:numPr>
        <w:spacing w:before="100" w:beforeAutospacing="1" w:after="100" w:afterAutospacing="1" w:line="360" w:lineRule="auto"/>
        <w:jc w:val="both"/>
      </w:pPr>
      <w:r>
        <w:t>Identyfikację klienta oraz weryfikację jego tożsamości,</w:t>
      </w:r>
    </w:p>
    <w:p w:rsidR="00A31A40" w:rsidRDefault="00A31A40" w:rsidP="00A31A40">
      <w:pPr>
        <w:pStyle w:val="Akapitzlist"/>
        <w:numPr>
          <w:ilvl w:val="0"/>
          <w:numId w:val="5"/>
        </w:numPr>
        <w:spacing w:before="100" w:beforeAutospacing="1" w:after="100" w:afterAutospacing="1" w:line="360" w:lineRule="auto"/>
        <w:jc w:val="both"/>
      </w:pPr>
      <w:r>
        <w:t>Identyfikację beneficjenta rzeczywistego oraz podejmowanie uzasadnionych czynności w celu: weryfikacji jego tożsamości, ustalenia struktury własności i kontroli- w przypadku klienta będącego osobą prawną albo jednostką organizacyjna nieposiadającą osobowości prawnej;</w:t>
      </w:r>
    </w:p>
    <w:p w:rsidR="00A31A40" w:rsidRDefault="00A31A40" w:rsidP="00A31A40">
      <w:pPr>
        <w:pStyle w:val="Akapitzlist"/>
        <w:numPr>
          <w:ilvl w:val="0"/>
          <w:numId w:val="5"/>
        </w:numPr>
        <w:spacing w:before="100" w:beforeAutospacing="1" w:after="100" w:afterAutospacing="1" w:line="360" w:lineRule="auto"/>
        <w:jc w:val="both"/>
      </w:pPr>
      <w:r>
        <w:t>Ocenę stosunków gospodarczych i uzyskanie informacji na temat ich celu i zamierzonego charakteru;</w:t>
      </w:r>
    </w:p>
    <w:p w:rsidR="00A31A40" w:rsidRDefault="00A31A40" w:rsidP="00A31A40">
      <w:pPr>
        <w:pStyle w:val="Akapitzlist"/>
        <w:numPr>
          <w:ilvl w:val="0"/>
          <w:numId w:val="5"/>
        </w:numPr>
        <w:spacing w:before="100" w:beforeAutospacing="1" w:after="100" w:afterAutospacing="1" w:line="360" w:lineRule="auto"/>
        <w:jc w:val="both"/>
      </w:pPr>
      <w:r>
        <w:t>Bieżące monitorowanie stosunków gospodarczych klienta , w tym:</w:t>
      </w:r>
    </w:p>
    <w:p w:rsidR="00A31A40" w:rsidRDefault="00A31A40" w:rsidP="00A31A40">
      <w:pPr>
        <w:numPr>
          <w:ilvl w:val="5"/>
          <w:numId w:val="2"/>
        </w:numPr>
        <w:tabs>
          <w:tab w:val="clear" w:pos="4500"/>
        </w:tabs>
        <w:spacing w:before="100" w:beforeAutospacing="1" w:after="100" w:afterAutospacing="1" w:line="360" w:lineRule="auto"/>
        <w:ind w:left="2700"/>
        <w:jc w:val="both"/>
      </w:pPr>
      <w:r>
        <w:t xml:space="preserve">Analizę transakcji przeprowadzonych w ramach stosunków gospodarczych w celu zapewnienia, że transakcje te są zgodne </w:t>
      </w:r>
      <w:r>
        <w:br/>
        <w:t>z wiedzą instytucji obowiązanej o kliencie, rodzaju i zakresie prowadzonej przez niego działalności oraz zgodne z ryzykiem prania pieniędzy oraz finansowania terroryzmu  związanym z tym klientem,</w:t>
      </w:r>
    </w:p>
    <w:p w:rsidR="00A31A40" w:rsidRDefault="00A31A40" w:rsidP="00A31A40">
      <w:pPr>
        <w:numPr>
          <w:ilvl w:val="5"/>
          <w:numId w:val="2"/>
        </w:numPr>
        <w:tabs>
          <w:tab w:val="clear" w:pos="4500"/>
        </w:tabs>
        <w:spacing w:before="100" w:beforeAutospacing="1" w:after="100" w:afterAutospacing="1" w:line="360" w:lineRule="auto"/>
        <w:ind w:left="2700"/>
        <w:jc w:val="both"/>
      </w:pPr>
      <w:r>
        <w:t>Badanie źródła pochodzenia wartości majątkowych będących</w:t>
      </w:r>
      <w:r>
        <w:br/>
        <w:t xml:space="preserve"> w dyspozycji klienta w przypadkach uzasadnionych okolicznościami,</w:t>
      </w:r>
    </w:p>
    <w:p w:rsidR="00A31A40" w:rsidRDefault="00A31A40" w:rsidP="00A31A40">
      <w:pPr>
        <w:numPr>
          <w:ilvl w:val="5"/>
          <w:numId w:val="2"/>
        </w:numPr>
        <w:tabs>
          <w:tab w:val="clear" w:pos="4500"/>
        </w:tabs>
        <w:spacing w:before="100" w:beforeAutospacing="1" w:after="100" w:afterAutospacing="1" w:line="360" w:lineRule="auto"/>
        <w:ind w:left="2700"/>
        <w:jc w:val="both"/>
      </w:pPr>
      <w:r>
        <w:t>Zapewnienie , że posiadane dokumenty, dane lub informacje dotyczące stosunków gospodarczych są na bieżąco aktualizowane.</w:t>
      </w:r>
    </w:p>
    <w:p w:rsidR="00A31A40" w:rsidRDefault="00A31A40" w:rsidP="00A31A40">
      <w:pPr>
        <w:spacing w:before="100" w:beforeAutospacing="1" w:after="100" w:afterAutospacing="1" w:line="360" w:lineRule="auto"/>
        <w:ind w:left="1080"/>
        <w:jc w:val="both"/>
        <w:rPr>
          <w:b/>
        </w:rPr>
      </w:pPr>
      <w:r>
        <w:lastRenderedPageBreak/>
        <w:t xml:space="preserve">Odnośnie identyfikacji i weryfikacji beneficjenta rzeczywistego klienta należy podjąć uzasadnione środki weryfikacji jego tożsamości, tak aby instytucja obowiązana była przekonana, że wie kim jest beneficjent rzeczywisty. </w:t>
      </w:r>
      <w:r>
        <w:br/>
        <w:t xml:space="preserve">W przypadku osób prawnych, przedsiębiorstw, fundacji i podobnych porozumień prawnych należy podjąć uzasadnione środki w celu zrozumienia struktury własności i kontroli klienta. </w:t>
      </w:r>
      <w:r w:rsidRPr="005E3195">
        <w:rPr>
          <w:b/>
        </w:rPr>
        <w:t>Beneficjentem jest zawsze osoba fizyczna.</w:t>
      </w:r>
    </w:p>
    <w:p w:rsidR="00A31A40" w:rsidRDefault="00A31A40" w:rsidP="00A31A40">
      <w:pPr>
        <w:spacing w:before="100" w:beforeAutospacing="1" w:after="100" w:afterAutospacing="1" w:line="360" w:lineRule="auto"/>
        <w:ind w:left="1080"/>
        <w:jc w:val="both"/>
      </w:pPr>
      <w:r w:rsidRPr="005E3195">
        <w:t xml:space="preserve">Środki bezpieczeństwa </w:t>
      </w:r>
      <w:r>
        <w:t>finansowego fundacje i stowarzyszenia stosują</w:t>
      </w:r>
      <w:r>
        <w:br/>
        <w:t xml:space="preserve"> w przypadku:</w:t>
      </w:r>
    </w:p>
    <w:p w:rsidR="00A31A40" w:rsidRDefault="00A31A40" w:rsidP="00A31A40">
      <w:pPr>
        <w:spacing w:before="100" w:beforeAutospacing="1" w:after="100" w:afterAutospacing="1" w:line="360" w:lineRule="auto"/>
        <w:ind w:left="1080"/>
        <w:jc w:val="both"/>
      </w:pPr>
      <w:r>
        <w:t>- nawiązania stosunków gospodarczych;</w:t>
      </w:r>
    </w:p>
    <w:p w:rsidR="00A31A40" w:rsidRDefault="00A31A40" w:rsidP="00A31A40">
      <w:pPr>
        <w:spacing w:before="100" w:beforeAutospacing="1" w:after="100" w:afterAutospacing="1" w:line="360" w:lineRule="auto"/>
        <w:ind w:left="1080"/>
        <w:jc w:val="both"/>
      </w:pPr>
      <w:r>
        <w:t>- przeprowadzania transakcji okazjonalnej :</w:t>
      </w:r>
    </w:p>
    <w:p w:rsidR="00A31A40" w:rsidRDefault="00A31A40" w:rsidP="00A31A40">
      <w:pPr>
        <w:spacing w:before="100" w:beforeAutospacing="1" w:after="100" w:afterAutospacing="1" w:line="360" w:lineRule="auto"/>
        <w:ind w:left="1080"/>
        <w:jc w:val="both"/>
      </w:pPr>
      <w:r>
        <w:t>a) o równowartości 15.000 euro lub większej, bez względu na to, czy transakcja jest przeprowadzana jako pojedyncza operacja, czy kilka operacji, które wydają się ze sobą powiązane.</w:t>
      </w:r>
    </w:p>
    <w:p w:rsidR="00A31A40" w:rsidRDefault="00A31A40" w:rsidP="00A31A40">
      <w:pPr>
        <w:spacing w:before="100" w:beforeAutospacing="1" w:after="100" w:afterAutospacing="1" w:line="360" w:lineRule="auto"/>
        <w:ind w:left="1080"/>
        <w:jc w:val="both"/>
      </w:pPr>
      <w:r>
        <w:t xml:space="preserve">-przeprowadzania gotówkowej transakcji okazjonalnej o równowartości </w:t>
      </w:r>
      <w:r w:rsidRPr="00121294">
        <w:rPr>
          <w:b/>
        </w:rPr>
        <w:t xml:space="preserve">10.000 euro </w:t>
      </w:r>
      <w:r>
        <w:t>lub większej, bez względu na to, czy transakcja jest przeprowadzana jako pojedyncza operacja, czy kilka operacji, które wydają się ze sobą powiązane –</w:t>
      </w:r>
      <w:r>
        <w:br/>
        <w:t xml:space="preserve"> w przypadku instytucji obowiązanych, o których mowa  w art.2 ust.1 pkt 23 ustawy;</w:t>
      </w:r>
    </w:p>
    <w:p w:rsidR="00A31A40" w:rsidRDefault="00A31A40" w:rsidP="00A31A40">
      <w:pPr>
        <w:spacing w:before="100" w:beforeAutospacing="1" w:after="100" w:afterAutospacing="1" w:line="360" w:lineRule="auto"/>
        <w:ind w:left="1080"/>
        <w:jc w:val="both"/>
      </w:pPr>
      <w:r>
        <w:t>- podejrzenia prania pieniędzy lub finansowania terroryzmu;</w:t>
      </w:r>
    </w:p>
    <w:p w:rsidR="00A31A40" w:rsidRDefault="00A31A40" w:rsidP="00A31A40">
      <w:pPr>
        <w:spacing w:before="100" w:beforeAutospacing="1" w:after="100" w:afterAutospacing="1" w:line="360" w:lineRule="auto"/>
        <w:ind w:left="1080"/>
        <w:jc w:val="both"/>
      </w:pPr>
      <w:r>
        <w:t>Wątpliwości co do prawdziwości  lub kompletności dotychczas uzyskanych danych identyfikacyjnych klienta.</w:t>
      </w:r>
    </w:p>
    <w:p w:rsidR="00A31A40" w:rsidRDefault="00A31A40" w:rsidP="00A31A40">
      <w:pPr>
        <w:spacing w:before="100" w:beforeAutospacing="1" w:after="100" w:afterAutospacing="1" w:line="360" w:lineRule="auto"/>
        <w:ind w:left="1080"/>
        <w:jc w:val="both"/>
      </w:pPr>
      <w:r>
        <w:t>Fundacje i stowarzyszenia stosują środki bezpieczeństwa  finansowego</w:t>
      </w:r>
      <w:r>
        <w:br/>
        <w:t xml:space="preserve"> w odniesieniu do klientów, z którymi utrzymują stosunki gospodarcze,</w:t>
      </w:r>
      <w:r>
        <w:br/>
      </w:r>
      <w:r>
        <w:lastRenderedPageBreak/>
        <w:t xml:space="preserve"> z uwzględnieniem rozpoznanego ryzyka prania pieniędzy oraz finansowania terroryzmu, w szczególności, gdy doszło do zmiany uprzednio ustalonego charakteru lub okoliczności stosunków gospodarczych. </w:t>
      </w:r>
    </w:p>
    <w:p w:rsidR="00A31A40" w:rsidRPr="00121294" w:rsidRDefault="00A31A40" w:rsidP="00A31A40">
      <w:pPr>
        <w:spacing w:before="100" w:beforeAutospacing="1" w:after="100" w:afterAutospacing="1" w:line="360" w:lineRule="auto"/>
        <w:ind w:left="1080"/>
        <w:jc w:val="both"/>
      </w:pPr>
      <w:r>
        <w:t xml:space="preserve">Mogą stosować </w:t>
      </w:r>
      <w:r w:rsidRPr="004A04C3">
        <w:rPr>
          <w:b/>
        </w:rPr>
        <w:t>uproszczone</w:t>
      </w:r>
      <w:r>
        <w:t xml:space="preserve"> środki bezpieczeństwa finansowego w przypadkach określonych w art. 42 ustawy lub </w:t>
      </w:r>
      <w:r w:rsidRPr="004A04C3">
        <w:rPr>
          <w:b/>
        </w:rPr>
        <w:t>wzmożone</w:t>
      </w:r>
      <w:r>
        <w:t xml:space="preserve"> środki bezpieczeństwa finansowego (art. 43). Te ostatnie powinny zostać zastosowane w przypadkach wyższego ryzyka prania pieniędzy lub finansowania terroryzmu. Katalog przykładowych czynników wyższego ryzyka znajduje się w art. 43 ustawy.</w:t>
      </w:r>
    </w:p>
    <w:p w:rsidR="00A31A40" w:rsidRDefault="00A31A40" w:rsidP="00A31A40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b/>
        </w:rPr>
      </w:pPr>
      <w:r w:rsidRPr="00FD3CB6">
        <w:rPr>
          <w:b/>
        </w:rPr>
        <w:t>Bieżąca analiza transakcji</w:t>
      </w:r>
      <w:r>
        <w:rPr>
          <w:b/>
        </w:rPr>
        <w:t>.</w:t>
      </w:r>
    </w:p>
    <w:p w:rsidR="00A31A40" w:rsidRPr="004A04C3" w:rsidRDefault="00A31A40" w:rsidP="00A31A40">
      <w:pPr>
        <w:spacing w:before="100" w:beforeAutospacing="1" w:after="100" w:afterAutospacing="1" w:line="360" w:lineRule="auto"/>
        <w:ind w:left="1080"/>
        <w:jc w:val="both"/>
      </w:pPr>
      <w:r>
        <w:t xml:space="preserve">W aktualnym stanie prawnym, fundacje i stowarzyszenia nie mają obowiązku przeprowadzania oddzielnej bieżącej analizy transakcji dla klientów. Analiza transakcji klienta prowadzona jest w ramach środków bezpieczeństwa finansowego – bieżącego monitoringu stosunków gospodarczych. Natomiast </w:t>
      </w:r>
      <w:r>
        <w:br/>
        <w:t xml:space="preserve">w stosunku do klientów, wobec których stosuje się wzmożone środki bezpieczeństwa finansowego fundacje i stowarzyszenia  przeprowadzają wzmożoną bieżącą analizę przeprowadzonych z tym klientem transakcji </w:t>
      </w:r>
      <w:r>
        <w:br/>
        <w:t>i dokumentują wyniki tej analizy.</w:t>
      </w:r>
    </w:p>
    <w:p w:rsidR="00A31A40" w:rsidRDefault="00A31A40" w:rsidP="00A31A40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b/>
        </w:rPr>
      </w:pPr>
      <w:r w:rsidRPr="00FD3CB6">
        <w:rPr>
          <w:b/>
        </w:rPr>
        <w:t>Rejestr transakcji</w:t>
      </w:r>
      <w:r>
        <w:rPr>
          <w:b/>
        </w:rPr>
        <w:t>.</w:t>
      </w:r>
    </w:p>
    <w:p w:rsidR="00A31A40" w:rsidRPr="00B97E62" w:rsidRDefault="00A31A40" w:rsidP="00A31A40">
      <w:pPr>
        <w:spacing w:before="100" w:beforeAutospacing="1" w:after="100" w:afterAutospacing="1" w:line="360" w:lineRule="auto"/>
        <w:ind w:left="1080"/>
        <w:jc w:val="both"/>
      </w:pPr>
      <w:r w:rsidRPr="00B97E62">
        <w:t xml:space="preserve">Ustawa </w:t>
      </w:r>
      <w:r>
        <w:t>znosi obowiązek prowadzenie rejestru transakcji w obecnym kształcie. Oznacza to, że od 13 lipca 2018r., fundacje i stowarzyszenia nie są już obowiązane do prowadzenia rejestru transakcji. Jednakże, dane zawarte</w:t>
      </w:r>
      <w:r>
        <w:br/>
        <w:t xml:space="preserve"> w dotychczas prowadzonym rejestrze muszą być przechowywane  przez okres 5 lat, licząc od pierwszego dnia roku następującego po roku, w którym transakcje zostały zarejestrowane. W przypadku likwidacji, połączenia, podziału oraz przekształcenia fundacji i stowarzyszenia, do przechowywania rejestrów</w:t>
      </w:r>
      <w:r>
        <w:br/>
      </w:r>
      <w:r>
        <w:lastRenderedPageBreak/>
        <w:t xml:space="preserve"> i dokumentacji stosuje się odpowiednio przepisy art. 76 ustawy z dnia 29 września 1994 roku o rachunkowości (Dz. U. z 2018r., poz. 395 ze zm.).</w:t>
      </w:r>
      <w:r>
        <w:br/>
      </w:r>
    </w:p>
    <w:p w:rsidR="00A31A40" w:rsidRDefault="00A31A40" w:rsidP="00A31A40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b/>
        </w:rPr>
      </w:pPr>
      <w:r w:rsidRPr="00FD3CB6">
        <w:rPr>
          <w:b/>
        </w:rPr>
        <w:t>Wewnętrzna procedura (art. 50 ust. 1 ustawy)</w:t>
      </w:r>
      <w:r>
        <w:rPr>
          <w:b/>
        </w:rPr>
        <w:t>.</w:t>
      </w:r>
    </w:p>
    <w:p w:rsidR="00A31A40" w:rsidRPr="00CC3ACC" w:rsidRDefault="00A31A40" w:rsidP="00A31A40">
      <w:pPr>
        <w:spacing w:before="100" w:beforeAutospacing="1" w:after="100" w:afterAutospacing="1" w:line="360" w:lineRule="auto"/>
        <w:ind w:left="1080"/>
        <w:jc w:val="both"/>
      </w:pPr>
      <w:r>
        <w:t>Stosownie do art. 50 ustawy fundacje i stowarzyszenia wprowadzają wewnętrzną procedurę w zakresie przeciwdziałania praniu pieniędzy oraz finansowaniu terroryzmu, która powinna określać zasady postępowania stosowane w fundacji</w:t>
      </w:r>
      <w:r>
        <w:br/>
        <w:t xml:space="preserve"> i stowarzyszeniu. Elementy, jakie powinna zawierać wewnętrzna procedura, określa art. 50 ust. 2 pkt 1-9  ustawy. Wewnętrzna procedura podlega akceptacji przez kadrę kierowniczą wyższego szczebla.</w:t>
      </w:r>
    </w:p>
    <w:p w:rsidR="00A31A40" w:rsidRDefault="00A31A40" w:rsidP="00A31A40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b/>
        </w:rPr>
      </w:pPr>
      <w:r w:rsidRPr="00FD3CB6">
        <w:rPr>
          <w:b/>
        </w:rPr>
        <w:t>Szkolenia (art.52 ustawy)</w:t>
      </w:r>
      <w:r>
        <w:rPr>
          <w:b/>
        </w:rPr>
        <w:t>.</w:t>
      </w:r>
    </w:p>
    <w:p w:rsidR="00A31A40" w:rsidRPr="001F0188" w:rsidRDefault="00A31A40" w:rsidP="00A31A40">
      <w:pPr>
        <w:spacing w:before="100" w:beforeAutospacing="1" w:after="100" w:afterAutospacing="1" w:line="360" w:lineRule="auto"/>
        <w:ind w:left="1080"/>
        <w:jc w:val="both"/>
      </w:pPr>
      <w:r w:rsidRPr="001F0188">
        <w:t xml:space="preserve">Ustawa w istotny sposób zmienia dotychczasowy </w:t>
      </w:r>
      <w:r>
        <w:t>stan prawny dotyczący przeciwdziałania praniu pieniędzy oraz finansowaniu terroryzmu, konieczne jest zaktualizowanie obowiązków szkoleniowych, określonych w art. 52 ustawy. Szkolenia mogą być zewnętrzne lub wewnętrzne w fundacji lub stowarzyszeniu, jak również samokształcące poprzez wykorzystanie informacji i komunikatów dostępnych na stronach Generalnego Inspektora.</w:t>
      </w:r>
    </w:p>
    <w:p w:rsidR="00A31A40" w:rsidRDefault="00A31A40" w:rsidP="00A31A40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b/>
        </w:rPr>
      </w:pPr>
      <w:r w:rsidRPr="00FD3CB6">
        <w:rPr>
          <w:b/>
        </w:rPr>
        <w:t>Obowiązek przekazania informacji o transakcjach (art.72,74 i 89 ustawy).</w:t>
      </w:r>
    </w:p>
    <w:p w:rsidR="00A31A40" w:rsidRPr="006E40C5" w:rsidRDefault="00A31A40" w:rsidP="00A31A40">
      <w:pPr>
        <w:spacing w:before="100" w:beforeAutospacing="1" w:after="100" w:afterAutospacing="1" w:line="360" w:lineRule="auto"/>
        <w:ind w:left="1080"/>
        <w:jc w:val="both"/>
      </w:pPr>
      <w:r>
        <w:t>Nowym obowiązkiem dla fundacji i stowarzyszeń jest niezwłoczne zawiadomienie właściwego prokuratora o przypadku powzięcia uzasadnionego podejrzenia, że wartości majątkowe będące przedmiotem transakcji lub zgromadzone na rachunku, pochodzą z przestępstwa innego niż przestępstwo prania pieniędzy lub finansowania terroryzmu lub z przestępstwa skarbowego.</w:t>
      </w:r>
    </w:p>
    <w:p w:rsidR="00A31A40" w:rsidRDefault="00A31A40" w:rsidP="00A31A40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b/>
        </w:rPr>
      </w:pPr>
      <w:r w:rsidRPr="00FD3CB6">
        <w:rPr>
          <w:b/>
        </w:rPr>
        <w:lastRenderedPageBreak/>
        <w:t>Wstrzymywanie transakcji (Rozdział 8 ustawy)</w:t>
      </w:r>
      <w:r>
        <w:rPr>
          <w:b/>
        </w:rPr>
        <w:t>.</w:t>
      </w:r>
    </w:p>
    <w:p w:rsidR="00A31A40" w:rsidRPr="006E40C5" w:rsidRDefault="00A31A40" w:rsidP="00A31A40">
      <w:pPr>
        <w:spacing w:before="100" w:beforeAutospacing="1" w:after="100" w:afterAutospacing="1" w:line="360" w:lineRule="auto"/>
        <w:ind w:left="1080"/>
        <w:jc w:val="both"/>
      </w:pPr>
      <w:r w:rsidRPr="006E40C5">
        <w:t xml:space="preserve">Ustawa </w:t>
      </w:r>
      <w:r>
        <w:t>wprowadza  nowe terminy wstrzymania transakcji, które zostały określone w art. 86 ustawy oraz nowe terminy, w przypadku gdy przekazanie zawiadomienia było niemożliwe przed przeprowadzeniem transakcji.- art. 90 ustawy.</w:t>
      </w:r>
    </w:p>
    <w:p w:rsidR="00A31A40" w:rsidRDefault="00A31A40" w:rsidP="00A31A40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b/>
        </w:rPr>
      </w:pPr>
      <w:r w:rsidRPr="00FD3CB6">
        <w:rPr>
          <w:b/>
        </w:rPr>
        <w:t>Szczególne środki ograniczające (art. 117,118,119 i 120 ustawy)</w:t>
      </w:r>
      <w:r>
        <w:rPr>
          <w:b/>
        </w:rPr>
        <w:t>.</w:t>
      </w:r>
    </w:p>
    <w:p w:rsidR="00A31A40" w:rsidRPr="006E40C5" w:rsidRDefault="00A31A40" w:rsidP="00A31A40">
      <w:pPr>
        <w:spacing w:before="100" w:beforeAutospacing="1" w:after="100" w:afterAutospacing="1" w:line="360" w:lineRule="auto"/>
        <w:ind w:left="1080"/>
        <w:jc w:val="both"/>
      </w:pPr>
      <w:r w:rsidRPr="006E40C5">
        <w:t>Szczególne środki o</w:t>
      </w:r>
      <w:r>
        <w:t>graniczające, o których mowa w art. 117 ust. 2 fundacje</w:t>
      </w:r>
      <w:r>
        <w:br/>
        <w:t xml:space="preserve"> i stowarzyszenia stosują wobec osób i podmiotów wskazanych na liście, o której mowa w art. 120 ustawy.</w:t>
      </w:r>
    </w:p>
    <w:p w:rsidR="00A31A40" w:rsidRDefault="00A31A40" w:rsidP="00A31A40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b/>
        </w:rPr>
      </w:pPr>
      <w:r w:rsidRPr="00FD3CB6">
        <w:rPr>
          <w:b/>
        </w:rPr>
        <w:t>Kontrolowanie instytucji obowiązanych (Rozdział 12 ustawy)</w:t>
      </w:r>
      <w:r>
        <w:rPr>
          <w:b/>
        </w:rPr>
        <w:t>.</w:t>
      </w:r>
    </w:p>
    <w:p w:rsidR="00A31A40" w:rsidRPr="004E4DBB" w:rsidRDefault="00A31A40" w:rsidP="00A31A40">
      <w:pPr>
        <w:spacing w:before="100" w:beforeAutospacing="1" w:after="100" w:afterAutospacing="1" w:line="360" w:lineRule="auto"/>
        <w:ind w:left="1080"/>
        <w:jc w:val="both"/>
      </w:pPr>
      <w:r>
        <w:t xml:space="preserve">Zasady kontroli instytucji obowiązanych uregulowane zostały w art. 130-146 Rozdziału 12 ustawy. Kontrola może być przeprowadzona w zakresie i na zasadach określonych w ustawie przez ww. organy na podstawie rocznego planu kontroli bądź doraźnie. Przedmiotowa kontrola może być realizowana przez co najmniej dwóch pracowników. Z przeprowadzonej kontroli sporządzany jest protokół pokontrolny (art.141) oraz wystąpienia pokontrolne zawierające m.in. zalecenia pokontrolne (art.142). </w:t>
      </w:r>
    </w:p>
    <w:p w:rsidR="00A31A40" w:rsidRDefault="00A31A40" w:rsidP="00A31A40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b/>
        </w:rPr>
      </w:pPr>
      <w:r>
        <w:rPr>
          <w:b/>
        </w:rPr>
        <w:t xml:space="preserve"> </w:t>
      </w:r>
      <w:r w:rsidRPr="00FD3CB6">
        <w:rPr>
          <w:b/>
        </w:rPr>
        <w:t>Kary administracyjne (Rozdział 13</w:t>
      </w:r>
      <w:r>
        <w:rPr>
          <w:b/>
        </w:rPr>
        <w:t xml:space="preserve"> ustawy</w:t>
      </w:r>
      <w:r w:rsidRPr="00FD3CB6">
        <w:rPr>
          <w:b/>
        </w:rPr>
        <w:t>)</w:t>
      </w:r>
      <w:r>
        <w:rPr>
          <w:b/>
        </w:rPr>
        <w:t>.</w:t>
      </w:r>
    </w:p>
    <w:p w:rsidR="00A31A40" w:rsidRDefault="00A31A40" w:rsidP="0067573D">
      <w:pPr>
        <w:spacing w:before="100" w:beforeAutospacing="1" w:after="100" w:afterAutospacing="1" w:line="360" w:lineRule="auto"/>
        <w:ind w:left="1080"/>
      </w:pPr>
      <w:r>
        <w:t>Kary administracyjne na fundacje i stowarzyszenia, w drodze decyzji administracyjnej, nakłada Generalny Inspektor.</w:t>
      </w:r>
      <w:r>
        <w:br/>
      </w:r>
      <w:r>
        <w:br/>
      </w:r>
    </w:p>
    <w:p w:rsidR="00A31A40" w:rsidRDefault="00A31A40" w:rsidP="00A31A40">
      <w:pPr>
        <w:spacing w:before="100" w:beforeAutospacing="1" w:after="100" w:afterAutospacing="1" w:line="360" w:lineRule="auto"/>
        <w:jc w:val="both"/>
      </w:pPr>
      <w:r>
        <w:lastRenderedPageBreak/>
        <w:t>Mając na uwadze powyższe informacje, serdecznie zapraszamy wszystkich zainteresowanych na szkolenie z zakresu Przeciwdziałania Praniu pieniędzy oraz finansowaniu terroryzmu,</w:t>
      </w:r>
      <w:r>
        <w:br/>
        <w:t xml:space="preserve"> w siedzibie Sosnowieckiego Centrum Organizacji Pozarządowych, Plac Kościuszki 5, w dniu 21.11.2018r, od godziny 14.00.</w:t>
      </w:r>
    </w:p>
    <w:p w:rsidR="00A31A40" w:rsidRPr="004E4DBB" w:rsidRDefault="00A31A40" w:rsidP="00A31A40">
      <w:pPr>
        <w:spacing w:before="100" w:beforeAutospacing="1" w:after="100" w:afterAutospacing="1" w:line="360" w:lineRule="auto"/>
      </w:pPr>
      <w:r>
        <w:t>Zapisy przyjmujemy pod numerem telefonu: 32 263 32 22.</w:t>
      </w:r>
      <w:r>
        <w:br/>
        <w:t>Ilość miejsc jest ograniczona, decyduje kolejność zgłoszeń.</w:t>
      </w:r>
    </w:p>
    <w:sectPr w:rsidR="00A31A40" w:rsidRPr="004E4DBB" w:rsidSect="000E1FB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5F75" w:rsidRDefault="00865F75" w:rsidP="00DD6EE0">
      <w:pPr>
        <w:spacing w:after="0" w:line="240" w:lineRule="auto"/>
      </w:pPr>
      <w:r>
        <w:separator/>
      </w:r>
    </w:p>
  </w:endnote>
  <w:endnote w:type="continuationSeparator" w:id="0">
    <w:p w:rsidR="00865F75" w:rsidRDefault="00865F75" w:rsidP="00DD6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5F75" w:rsidRDefault="00865F75" w:rsidP="00DD6EE0">
      <w:pPr>
        <w:spacing w:after="0" w:line="240" w:lineRule="auto"/>
      </w:pPr>
      <w:r>
        <w:separator/>
      </w:r>
    </w:p>
  </w:footnote>
  <w:footnote w:type="continuationSeparator" w:id="0">
    <w:p w:rsidR="00865F75" w:rsidRDefault="00865F75" w:rsidP="00DD6E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6EE0" w:rsidRPr="00DD6EE0" w:rsidRDefault="0057204F" w:rsidP="00DD6EE0">
    <w:pPr>
      <w:pStyle w:val="Nagwek"/>
      <w:tabs>
        <w:tab w:val="left" w:pos="2580"/>
        <w:tab w:val="left" w:pos="2985"/>
      </w:tabs>
      <w:spacing w:line="276" w:lineRule="auto"/>
      <w:jc w:val="right"/>
      <w:rPr>
        <w:rFonts w:ascii="Book Antiqua" w:hAnsi="Book Antiqua"/>
        <w:b/>
        <w:bCs/>
        <w:color w:val="17365D" w:themeColor="text2" w:themeShade="BF"/>
        <w:sz w:val="26"/>
        <w:szCs w:val="26"/>
      </w:rPr>
    </w:pPr>
    <w:r>
      <w:rPr>
        <w:rFonts w:ascii="Book Antiqua" w:hAnsi="Book Antiqua"/>
        <w:b/>
        <w:bCs/>
        <w:noProof/>
        <w:color w:val="17365D" w:themeColor="text2" w:themeShade="BF"/>
        <w:sz w:val="26"/>
        <w:szCs w:val="26"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62230</wp:posOffset>
          </wp:positionH>
          <wp:positionV relativeFrom="paragraph">
            <wp:posOffset>-40005</wp:posOffset>
          </wp:positionV>
          <wp:extent cx="1209675" cy="1533525"/>
          <wp:effectExtent l="19050" t="0" r="9525" b="0"/>
          <wp:wrapNone/>
          <wp:docPr id="2" name="Obraz 1" descr="logo konkur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konkurs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09675" cy="1533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D6EE0" w:rsidRPr="00DD6EE0">
      <w:rPr>
        <w:rFonts w:ascii="Book Antiqua" w:hAnsi="Book Antiqua"/>
        <w:b/>
        <w:bCs/>
        <w:color w:val="17365D" w:themeColor="text2" w:themeShade="BF"/>
        <w:sz w:val="26"/>
        <w:szCs w:val="26"/>
      </w:rPr>
      <w:t xml:space="preserve">SOSNOWIECKIE CENTRUM </w:t>
    </w:r>
    <w:r w:rsidR="00DD6EE0" w:rsidRPr="00DD6EE0">
      <w:rPr>
        <w:rFonts w:ascii="Book Antiqua" w:hAnsi="Book Antiqua"/>
        <w:b/>
        <w:bCs/>
        <w:color w:val="17365D" w:themeColor="text2" w:themeShade="BF"/>
        <w:sz w:val="26"/>
        <w:szCs w:val="26"/>
      </w:rPr>
      <w:br/>
      <w:t>ORGANIZACJI POZARZĄDOWYCH</w:t>
    </w:r>
  </w:p>
  <w:p w:rsidR="00DD6EE0" w:rsidRPr="00DD6EE0" w:rsidRDefault="00DD6EE0" w:rsidP="00DD6EE0">
    <w:pPr>
      <w:pStyle w:val="Nagwek"/>
      <w:tabs>
        <w:tab w:val="left" w:pos="2580"/>
        <w:tab w:val="left" w:pos="2985"/>
      </w:tabs>
      <w:spacing w:line="276" w:lineRule="auto"/>
      <w:jc w:val="right"/>
      <w:rPr>
        <w:rFonts w:ascii="Book Antiqua" w:hAnsi="Book Antiqua"/>
        <w:b/>
        <w:bCs/>
        <w:color w:val="1F497D" w:themeColor="text2"/>
        <w:sz w:val="20"/>
        <w:szCs w:val="20"/>
      </w:rPr>
    </w:pPr>
    <w:r w:rsidRPr="00DD6EE0">
      <w:rPr>
        <w:rFonts w:ascii="Book Antiqua" w:hAnsi="Book Antiqua"/>
        <w:b/>
        <w:bCs/>
        <w:color w:val="1F497D" w:themeColor="text2"/>
        <w:sz w:val="20"/>
        <w:szCs w:val="20"/>
      </w:rPr>
      <w:t>Wydział Współpracy z Organizacjami Pozarządowymi</w:t>
    </w:r>
  </w:p>
  <w:p w:rsidR="00DD6EE0" w:rsidRPr="00DD6EE0" w:rsidRDefault="00DD6EE0" w:rsidP="00DD6EE0">
    <w:pPr>
      <w:pStyle w:val="Nagwek"/>
      <w:tabs>
        <w:tab w:val="left" w:pos="2580"/>
        <w:tab w:val="left" w:pos="2985"/>
      </w:tabs>
      <w:spacing w:line="276" w:lineRule="auto"/>
      <w:jc w:val="right"/>
      <w:rPr>
        <w:rFonts w:ascii="Book Antiqua" w:hAnsi="Book Antiqua"/>
        <w:b/>
        <w:bCs/>
        <w:color w:val="1F497D" w:themeColor="text2"/>
        <w:sz w:val="20"/>
        <w:szCs w:val="20"/>
      </w:rPr>
    </w:pPr>
    <w:r w:rsidRPr="00DD6EE0">
      <w:rPr>
        <w:rFonts w:ascii="Book Antiqua" w:hAnsi="Book Antiqua"/>
        <w:b/>
        <w:bCs/>
        <w:color w:val="1F497D" w:themeColor="text2"/>
        <w:sz w:val="20"/>
        <w:szCs w:val="20"/>
      </w:rPr>
      <w:t>Urząd Miejski w Sosnowcu</w:t>
    </w:r>
  </w:p>
  <w:p w:rsidR="00DD6EE0" w:rsidRPr="00C051F5" w:rsidRDefault="00DD6EE0" w:rsidP="00DD6EE0">
    <w:pPr>
      <w:pStyle w:val="Nagwek"/>
      <w:tabs>
        <w:tab w:val="left" w:pos="2580"/>
        <w:tab w:val="left" w:pos="2985"/>
      </w:tabs>
      <w:spacing w:line="276" w:lineRule="auto"/>
      <w:jc w:val="right"/>
      <w:rPr>
        <w:rFonts w:ascii="Book Antiqua" w:hAnsi="Book Antiqua"/>
        <w:b/>
        <w:bCs/>
        <w:color w:val="92D050"/>
        <w:sz w:val="20"/>
        <w:szCs w:val="20"/>
      </w:rPr>
    </w:pPr>
    <w:r w:rsidRPr="00C051F5">
      <w:rPr>
        <w:rFonts w:ascii="Book Antiqua" w:hAnsi="Book Antiqua"/>
        <w:b/>
        <w:bCs/>
        <w:color w:val="92D050"/>
        <w:sz w:val="20"/>
        <w:szCs w:val="20"/>
      </w:rPr>
      <w:t>Plac Kościuszki 5</w:t>
    </w:r>
  </w:p>
  <w:p w:rsidR="00DD6EE0" w:rsidRPr="0057204F" w:rsidRDefault="00DD6EE0" w:rsidP="00DD6EE0">
    <w:pPr>
      <w:pStyle w:val="Nagwek"/>
      <w:tabs>
        <w:tab w:val="left" w:pos="2580"/>
        <w:tab w:val="left" w:pos="2985"/>
      </w:tabs>
      <w:spacing w:line="276" w:lineRule="auto"/>
      <w:jc w:val="right"/>
      <w:rPr>
        <w:rFonts w:ascii="Book Antiqua" w:hAnsi="Book Antiqua"/>
        <w:b/>
        <w:bCs/>
        <w:color w:val="92D050"/>
        <w:sz w:val="20"/>
        <w:szCs w:val="20"/>
        <w:lang w:val="en-US"/>
      </w:rPr>
    </w:pPr>
    <w:r w:rsidRPr="003D315C">
      <w:rPr>
        <w:rFonts w:ascii="Book Antiqua" w:hAnsi="Book Antiqua"/>
        <w:b/>
        <w:bCs/>
        <w:color w:val="92D050"/>
        <w:sz w:val="20"/>
        <w:szCs w:val="20"/>
        <w:lang w:val="en-US"/>
      </w:rPr>
      <w:t>tel.</w:t>
    </w:r>
    <w:r w:rsidR="003D315C">
      <w:rPr>
        <w:rFonts w:ascii="Book Antiqua" w:hAnsi="Book Antiqua"/>
        <w:b/>
        <w:bCs/>
        <w:color w:val="92D050"/>
        <w:sz w:val="20"/>
        <w:szCs w:val="20"/>
        <w:lang w:val="en-US"/>
      </w:rPr>
      <w:t>/fax</w:t>
    </w:r>
    <w:r w:rsidRPr="003D315C">
      <w:rPr>
        <w:rFonts w:ascii="Book Antiqua" w:hAnsi="Book Antiqua"/>
        <w:b/>
        <w:bCs/>
        <w:color w:val="92D050"/>
        <w:sz w:val="20"/>
        <w:szCs w:val="20"/>
        <w:lang w:val="en-US"/>
      </w:rPr>
      <w:t xml:space="preserve"> 32/292 10 14,</w:t>
    </w:r>
    <w:r w:rsidR="0057204F" w:rsidRPr="003D315C">
      <w:rPr>
        <w:rFonts w:ascii="Book Antiqua" w:hAnsi="Book Antiqua"/>
        <w:b/>
        <w:bCs/>
        <w:color w:val="92D050"/>
        <w:sz w:val="20"/>
        <w:szCs w:val="20"/>
        <w:lang w:val="en-US"/>
      </w:rPr>
      <w:t xml:space="preserve"> tel.</w:t>
    </w:r>
    <w:r w:rsidRPr="003D315C">
      <w:rPr>
        <w:rFonts w:ascii="Book Antiqua" w:hAnsi="Book Antiqua"/>
        <w:b/>
        <w:bCs/>
        <w:color w:val="92D050"/>
        <w:sz w:val="20"/>
        <w:szCs w:val="20"/>
        <w:lang w:val="en-US"/>
      </w:rPr>
      <w:t xml:space="preserve"> 32/263 32 22</w:t>
    </w:r>
    <w:r w:rsidR="0057204F" w:rsidRPr="003D315C">
      <w:rPr>
        <w:rFonts w:ascii="Book Antiqua" w:hAnsi="Book Antiqua"/>
        <w:b/>
        <w:bCs/>
        <w:color w:val="92D050"/>
        <w:sz w:val="20"/>
        <w:szCs w:val="20"/>
        <w:lang w:val="en-US"/>
      </w:rPr>
      <w:t>, tel. 32/ 263 32 76</w:t>
    </w:r>
  </w:p>
  <w:p w:rsidR="00DD6EE0" w:rsidRPr="00DD6EE0" w:rsidRDefault="00DD6EE0" w:rsidP="00DD6EE0">
    <w:pPr>
      <w:pStyle w:val="Nagwek"/>
      <w:tabs>
        <w:tab w:val="left" w:pos="2580"/>
        <w:tab w:val="left" w:pos="2985"/>
      </w:tabs>
      <w:spacing w:line="276" w:lineRule="auto"/>
      <w:jc w:val="right"/>
      <w:rPr>
        <w:rFonts w:ascii="Book Antiqua" w:hAnsi="Book Antiqua"/>
        <w:b/>
        <w:bCs/>
        <w:color w:val="1F497D" w:themeColor="text2"/>
        <w:sz w:val="20"/>
        <w:szCs w:val="20"/>
        <w:lang w:val="en-US"/>
      </w:rPr>
    </w:pPr>
    <w:r w:rsidRPr="00DD6EE0">
      <w:rPr>
        <w:rFonts w:ascii="Book Antiqua" w:hAnsi="Book Antiqua"/>
        <w:b/>
        <w:bCs/>
        <w:color w:val="1F497D" w:themeColor="text2"/>
        <w:sz w:val="20"/>
        <w:szCs w:val="20"/>
        <w:lang w:val="en-US"/>
      </w:rPr>
      <w:t>e-mail: scop@um.sosnowiec.pl</w:t>
    </w:r>
  </w:p>
  <w:p w:rsidR="00DD6EE0" w:rsidRPr="00DD6EE0" w:rsidRDefault="00DD6EE0" w:rsidP="00DD6EE0">
    <w:pPr>
      <w:pStyle w:val="Nagwek"/>
      <w:tabs>
        <w:tab w:val="left" w:pos="2580"/>
        <w:tab w:val="left" w:pos="2985"/>
      </w:tabs>
      <w:spacing w:line="276" w:lineRule="auto"/>
      <w:jc w:val="right"/>
      <w:rPr>
        <w:rFonts w:ascii="Book Antiqua" w:hAnsi="Book Antiqua"/>
        <w:b/>
        <w:bCs/>
        <w:color w:val="1F497D" w:themeColor="text2"/>
        <w:sz w:val="20"/>
        <w:szCs w:val="20"/>
        <w:lang w:val="en-US"/>
      </w:rPr>
    </w:pPr>
    <w:r w:rsidRPr="00DD6EE0">
      <w:rPr>
        <w:rFonts w:ascii="Book Antiqua" w:hAnsi="Book Antiqua"/>
        <w:b/>
        <w:bCs/>
        <w:color w:val="1F497D" w:themeColor="text2"/>
        <w:sz w:val="20"/>
        <w:szCs w:val="20"/>
        <w:lang w:val="en-US"/>
      </w:rPr>
      <w:t>www.wsparcie.sosnowiec.pl</w:t>
    </w:r>
    <w:r>
      <w:rPr>
        <w:rFonts w:ascii="Book Antiqua" w:hAnsi="Book Antiqua"/>
        <w:b/>
        <w:bCs/>
        <w:color w:val="1F497D" w:themeColor="text2"/>
        <w:sz w:val="20"/>
        <w:szCs w:val="20"/>
        <w:lang w:val="en-US"/>
      </w:rPr>
      <w:t xml:space="preserve"> </w:t>
    </w:r>
  </w:p>
  <w:p w:rsidR="00DD6EE0" w:rsidRPr="00DD6EE0" w:rsidRDefault="00DD6EE0">
    <w:pPr>
      <w:pStyle w:val="Nagwek"/>
      <w:pBdr>
        <w:bottom w:val="single" w:sz="4" w:space="1" w:color="A5A5A5" w:themeColor="background1" w:themeShade="A5"/>
      </w:pBdr>
      <w:tabs>
        <w:tab w:val="left" w:pos="2580"/>
        <w:tab w:val="left" w:pos="2985"/>
      </w:tabs>
      <w:spacing w:after="120" w:line="276" w:lineRule="auto"/>
      <w:rPr>
        <w:color w:val="808080" w:themeColor="text1" w:themeTint="7F"/>
        <w:lang w:val="en-US"/>
      </w:rPr>
    </w:pPr>
  </w:p>
  <w:p w:rsidR="00DD6EE0" w:rsidRPr="00DD6EE0" w:rsidRDefault="00DD6EE0">
    <w:pPr>
      <w:pStyle w:val="Nagwek"/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90983"/>
    <w:multiLevelType w:val="hybridMultilevel"/>
    <w:tmpl w:val="324ABB8C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36146536"/>
    <w:multiLevelType w:val="hybridMultilevel"/>
    <w:tmpl w:val="FF642486"/>
    <w:lvl w:ilvl="0" w:tplc="0415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BF0CDE3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908656A">
      <w:start w:val="1"/>
      <w:numFmt w:val="bullet"/>
      <w:lvlText w:val=""/>
      <w:lvlJc w:val="left"/>
      <w:pPr>
        <w:tabs>
          <w:tab w:val="num" w:pos="1980"/>
        </w:tabs>
        <w:ind w:left="2340" w:hanging="360"/>
      </w:pPr>
      <w:rPr>
        <w:rFonts w:ascii="Symbol" w:hAnsi="Symbol" w:hint="default"/>
        <w:color w:val="auto"/>
      </w:rPr>
    </w:lvl>
    <w:lvl w:ilvl="3" w:tplc="F908656A">
      <w:start w:val="1"/>
      <w:numFmt w:val="bullet"/>
      <w:lvlText w:val=""/>
      <w:lvlJc w:val="left"/>
      <w:pPr>
        <w:tabs>
          <w:tab w:val="num" w:pos="1980"/>
        </w:tabs>
        <w:ind w:left="2340" w:hanging="360"/>
      </w:pPr>
      <w:rPr>
        <w:rFonts w:ascii="Symbol" w:hAnsi="Symbol" w:hint="default"/>
        <w:color w:val="auto"/>
      </w:rPr>
    </w:lvl>
    <w:lvl w:ilvl="4" w:tplc="2544FBBE">
      <w:start w:val="1"/>
      <w:numFmt w:val="bullet"/>
      <w:lvlText w:val=""/>
      <w:lvlJc w:val="left"/>
      <w:pPr>
        <w:tabs>
          <w:tab w:val="num" w:pos="3240"/>
        </w:tabs>
        <w:ind w:left="3600" w:hanging="360"/>
      </w:pPr>
      <w:rPr>
        <w:rFonts w:ascii="Symbol" w:hAnsi="Symbol" w:hint="default"/>
        <w:color w:val="auto"/>
      </w:rPr>
    </w:lvl>
    <w:lvl w:ilvl="5" w:tplc="04150003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7A5541B"/>
    <w:multiLevelType w:val="hybridMultilevel"/>
    <w:tmpl w:val="9814D632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490914A7"/>
    <w:multiLevelType w:val="hybridMultilevel"/>
    <w:tmpl w:val="1AB014C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D3C2D8D"/>
    <w:multiLevelType w:val="hybridMultilevel"/>
    <w:tmpl w:val="9050DE6E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DD6EE0"/>
    <w:rsid w:val="000A28CA"/>
    <w:rsid w:val="000E1FBA"/>
    <w:rsid w:val="001136F5"/>
    <w:rsid w:val="00163C09"/>
    <w:rsid w:val="001772C0"/>
    <w:rsid w:val="001F6DBF"/>
    <w:rsid w:val="00201C67"/>
    <w:rsid w:val="002402B7"/>
    <w:rsid w:val="002B5898"/>
    <w:rsid w:val="00306B06"/>
    <w:rsid w:val="003B7317"/>
    <w:rsid w:val="003D315C"/>
    <w:rsid w:val="004458D7"/>
    <w:rsid w:val="004F4D8A"/>
    <w:rsid w:val="0057204F"/>
    <w:rsid w:val="0062326C"/>
    <w:rsid w:val="0067573D"/>
    <w:rsid w:val="007A4293"/>
    <w:rsid w:val="00865F75"/>
    <w:rsid w:val="009A12BB"/>
    <w:rsid w:val="00A11529"/>
    <w:rsid w:val="00A205A1"/>
    <w:rsid w:val="00A31A40"/>
    <w:rsid w:val="00B072A5"/>
    <w:rsid w:val="00B26A37"/>
    <w:rsid w:val="00B47696"/>
    <w:rsid w:val="00B77B0E"/>
    <w:rsid w:val="00C051F5"/>
    <w:rsid w:val="00C52083"/>
    <w:rsid w:val="00D367D0"/>
    <w:rsid w:val="00D867FC"/>
    <w:rsid w:val="00DB0A6E"/>
    <w:rsid w:val="00DD6EE0"/>
    <w:rsid w:val="00E06445"/>
    <w:rsid w:val="00E07C12"/>
    <w:rsid w:val="00EA7DEF"/>
    <w:rsid w:val="00F008A5"/>
    <w:rsid w:val="00FD0EED"/>
    <w:rsid w:val="00FF7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05A1"/>
    <w:rPr>
      <w:rFonts w:ascii="Tahoma" w:eastAsiaTheme="minorHAnsi" w:hAnsi="Tahom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6EE0"/>
    <w:pPr>
      <w:tabs>
        <w:tab w:val="center" w:pos="4536"/>
        <w:tab w:val="right" w:pos="9072"/>
      </w:tabs>
      <w:spacing w:after="0" w:line="240" w:lineRule="auto"/>
    </w:pPr>
    <w:rPr>
      <w:rFonts w:asciiTheme="minorHAnsi" w:eastAsia="Calibri" w:hAnsiTheme="minorHAnsi" w:cs="Arial"/>
      <w:sz w:val="24"/>
    </w:rPr>
  </w:style>
  <w:style w:type="character" w:customStyle="1" w:styleId="NagwekZnak">
    <w:name w:val="Nagłówek Znak"/>
    <w:basedOn w:val="Domylnaczcionkaakapitu"/>
    <w:link w:val="Nagwek"/>
    <w:uiPriority w:val="99"/>
    <w:rsid w:val="00DD6EE0"/>
    <w:rPr>
      <w:rFonts w:cs="Arial"/>
      <w:sz w:val="24"/>
    </w:rPr>
  </w:style>
  <w:style w:type="paragraph" w:styleId="Stopka">
    <w:name w:val="footer"/>
    <w:basedOn w:val="Normalny"/>
    <w:link w:val="StopkaZnak"/>
    <w:uiPriority w:val="99"/>
    <w:semiHidden/>
    <w:unhideWhenUsed/>
    <w:rsid w:val="00DD6E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D6EE0"/>
    <w:rPr>
      <w:rFonts w:cs="Arial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EE0"/>
    <w:pPr>
      <w:spacing w:after="0" w:line="240" w:lineRule="auto"/>
    </w:pPr>
    <w:rPr>
      <w:rFonts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EE0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DD6EE0"/>
    <w:rPr>
      <w:color w:val="0000FF" w:themeColor="hyperlink"/>
      <w:u w:val="single"/>
    </w:rPr>
  </w:style>
  <w:style w:type="paragraph" w:customStyle="1" w:styleId="Bezodstpw1">
    <w:name w:val="Bez odstępów1"/>
    <w:rsid w:val="00A205A1"/>
    <w:pPr>
      <w:tabs>
        <w:tab w:val="left" w:pos="708"/>
      </w:tabs>
      <w:suppressAutoHyphens/>
      <w:spacing w:after="0" w:line="240" w:lineRule="auto"/>
    </w:pPr>
    <w:rPr>
      <w:rFonts w:ascii="Calibri" w:hAnsi="Calibri" w:cs="Calibri"/>
      <w:color w:val="00000A"/>
      <w:kern w:val="2"/>
    </w:rPr>
  </w:style>
  <w:style w:type="character" w:styleId="Uwydatnienie">
    <w:name w:val="Emphasis"/>
    <w:basedOn w:val="Domylnaczcionkaakapitu"/>
    <w:uiPriority w:val="20"/>
    <w:qFormat/>
    <w:rsid w:val="0062326C"/>
    <w:rPr>
      <w:i/>
      <w:iCs/>
    </w:rPr>
  </w:style>
  <w:style w:type="character" w:customStyle="1" w:styleId="apple-converted-space">
    <w:name w:val="apple-converted-space"/>
    <w:basedOn w:val="Domylnaczcionkaakapitu"/>
    <w:rsid w:val="0062326C"/>
  </w:style>
  <w:style w:type="character" w:styleId="Pogrubienie">
    <w:name w:val="Strong"/>
    <w:basedOn w:val="Domylnaczcionkaakapitu"/>
    <w:uiPriority w:val="22"/>
    <w:qFormat/>
    <w:rsid w:val="0062326C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2326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2326C"/>
    <w:rPr>
      <w:rFonts w:ascii="Tahoma" w:eastAsiaTheme="minorHAnsi" w:hAnsi="Tahoma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2326C"/>
    <w:rPr>
      <w:vertAlign w:val="superscript"/>
    </w:rPr>
  </w:style>
  <w:style w:type="paragraph" w:styleId="Akapitzlist">
    <w:name w:val="List Paragraph"/>
    <w:basedOn w:val="Normalny"/>
    <w:uiPriority w:val="34"/>
    <w:qFormat/>
    <w:rsid w:val="00A31A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585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9091F5-4DCA-4F71-A4A9-6BF60FE8A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1988</Words>
  <Characters>11928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Sosnowieckie Cenm Organizacji Pozarządowych</vt:lpstr>
    </vt:vector>
  </TitlesOfParts>
  <Company/>
  <LinksUpToDate>false</LinksUpToDate>
  <CharactersWithSpaces>13889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Sosnowieckie Cenm Organizacji Pozarządowych</dc:title>
  <dc:subject>Wydział Współpracy z Organizacjami Pozarządowymi Urząd Miejski W Sosnowcu</dc:subject>
  <dc:creator>ola</dc:creator>
  <cp:lastModifiedBy>ola</cp:lastModifiedBy>
  <cp:revision>2</cp:revision>
  <cp:lastPrinted>2018-10-25T06:06:00Z</cp:lastPrinted>
  <dcterms:created xsi:type="dcterms:W3CDTF">2018-10-25T06:08:00Z</dcterms:created>
  <dcterms:modified xsi:type="dcterms:W3CDTF">2018-10-25T06:08:00Z</dcterms:modified>
</cp:coreProperties>
</file>